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  <w:lang w:eastAsia="zh-CN"/>
        </w:rPr>
        <w:t>泉州市行政服务中心管委会关于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  <w:lang w:val="en-US" w:eastAsia="zh-CN"/>
        </w:rPr>
        <w:t>2021年</w:t>
      </w: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</w:rPr>
        <w:t>政府信息公开年度工作报告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lang w:eastAsia="zh-CN"/>
        </w:rPr>
        <w:t>市政府办公室：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根据《中华人民共和国政府信息公开条例》的规定和要求，现公布20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年度泉州市行政服务中心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管委会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政府信息公开工作报告。本报告由基本情况、主动公开政府信息情况、依申请公开政府信息情况、存在问题及下一步工作措施共六个部分组成。内容涵盖泉州市行政服务中心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管委会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年1月1日至12月31日期间的政府信息公开工作情况。本报告的电子版可在泉州市行政服务中心门户网站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"http://xzfwzx.quanzhou.gov.cn"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http://xzfwzx.quanzhou.gov.cn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下载。如对本报告有疑问，请与泉州市行政服务中心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管委会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综合科联系（地址：泉州市丰泽区海星街100号东海大厦B栋1111室，邮编：362000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电话：22132218，电子邮箱：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"mailto:qzsxzfwzx@126.com"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qzsxzfwzx@126.com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  <w:t>总体情况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-2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color w:val="auto"/>
          <w:spacing w:val="-2"/>
          <w:sz w:val="32"/>
          <w:szCs w:val="32"/>
        </w:rPr>
        <w:t>年，</w:t>
      </w:r>
      <w:r>
        <w:rPr>
          <w:rFonts w:hint="default" w:ascii="Times New Roman" w:hAnsi="Times New Roman" w:eastAsia="仿宋_GB2312" w:cs="Times New Roman"/>
          <w:color w:val="auto"/>
          <w:spacing w:val="-2"/>
          <w:sz w:val="32"/>
          <w:szCs w:val="32"/>
          <w:lang w:eastAsia="zh-CN"/>
        </w:rPr>
        <w:t>市行政服务中心管委会</w:t>
      </w:r>
      <w:r>
        <w:rPr>
          <w:rFonts w:hint="default" w:ascii="Times New Roman" w:hAnsi="Times New Roman" w:eastAsia="仿宋_GB2312" w:cs="Times New Roman"/>
          <w:color w:val="auto"/>
          <w:spacing w:val="-2"/>
          <w:sz w:val="32"/>
          <w:szCs w:val="32"/>
        </w:rPr>
        <w:t>认真贯彻落实《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中华人民共和国政府信息公开条例</w:t>
      </w:r>
      <w:r>
        <w:rPr>
          <w:rFonts w:hint="default" w:ascii="Times New Roman" w:hAnsi="Times New Roman" w:eastAsia="仿宋_GB2312" w:cs="Times New Roman"/>
          <w:color w:val="auto"/>
          <w:spacing w:val="-2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和省、市工作部署要求</w:t>
      </w:r>
      <w:r>
        <w:rPr>
          <w:rFonts w:hint="default" w:ascii="Times New Roman" w:hAnsi="Times New Roman" w:eastAsia="仿宋_GB2312" w:cs="Times New Roman"/>
          <w:color w:val="auto"/>
          <w:spacing w:val="-2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建立健全政府信息公开制度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-2"/>
          <w:sz w:val="32"/>
          <w:szCs w:val="32"/>
        </w:rPr>
        <w:t>加大政务公开力度，定期研究部署有关政务公开工作。</w:t>
      </w:r>
      <w:r>
        <w:rPr>
          <w:rFonts w:hint="default" w:ascii="Times New Roman" w:hAnsi="Times New Roman" w:eastAsia="仿宋_GB2312" w:cs="Times New Roman"/>
          <w:color w:val="auto"/>
          <w:spacing w:val="-2"/>
          <w:sz w:val="32"/>
          <w:szCs w:val="32"/>
          <w:lang w:eastAsia="zh-CN"/>
        </w:rPr>
        <w:t>中心管委会</w:t>
      </w:r>
      <w:r>
        <w:rPr>
          <w:rFonts w:hint="default" w:ascii="Times New Roman" w:hAnsi="Times New Roman" w:eastAsia="仿宋_GB2312" w:cs="Times New Roman"/>
          <w:color w:val="auto"/>
          <w:spacing w:val="-2"/>
          <w:sz w:val="32"/>
          <w:szCs w:val="32"/>
        </w:rPr>
        <w:t>始终坚持把政务公开工作作为加强党风廉政建设，转变工作作风，狠抓工作落实的重要举措，以公开促效率、树形象，不断提升政务公开的主动性和自觉性，有力地推动了政务公开工作有序高效运转。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（一）2021年主动公开政府信息情况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一是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严格落实信息发布审核制度，指定专人负责信息更新。20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年，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市行政服务中心管委会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政府信息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发布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413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条，其中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主动公开信息数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16条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。为方便公众获取政府信息，每月按时主动将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中心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主动公开政府信息的纸质材料送交市档案馆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及市图书馆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。</w:t>
      </w:r>
      <w:r>
        <w:rPr>
          <w:rFonts w:hint="default" w:ascii="Times New Roman" w:hAnsi="Times New Roman" w:eastAsia="仿宋_GB2312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二是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新设立线下政务公开专区，专区位于市行政服务中心一楼至三楼大厅内，提供自助上网、一站式便捷查询政府信息、服务咨询等服务，是政务服务公开的重要场所。</w:t>
      </w:r>
      <w:r>
        <w:rPr>
          <w:rFonts w:hint="default" w:ascii="Times New Roman" w:hAnsi="Times New Roman" w:eastAsia="仿宋_GB2312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三是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办好“刺桐新声”，启动线上宣讲。受新冠病毒疫情影响，原有线下宣讲模式受阻，中心管委会通过互联网线上直播的方式，零接触引导群众和企业同一时间齐聚线上宣讲直播间，开启远程宣讲模式, 今年来，共开展“刺桐新声—政策面对面”系列线上宣讲活动18场次；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（二）2021年依申请公开政府信息情况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2021年，市行政服务中心未收到政府信息公开申请。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（三）政府信息管理情况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-6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sz w:val="32"/>
          <w:szCs w:val="32"/>
          <w:lang w:val="en-US" w:eastAsia="zh-CN"/>
        </w:rPr>
        <w:t>市行政服务中心管委会积极贯彻落实政府信息公开新条例，明确公开范围、公开形式、公开时限及其他信息公开事项，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不断优化提升公开质量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同时，还不断加强政务公开机构建设、专职人员配备等制度，完善政务公开工作机制，健全审查制度和工作规程，实行“三审”制，对拟公开的政府信息进行严格依法审查。在符合保密要求的前提下，依法公开本机关的政务信息，做好公开内容表述、公开时机、公开方式的研判，及时制定更新主动公开基本目录。年内未发生信息发布失信、影响社会稳定等问题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（四）平台建设情况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进一步完善门户网站建设，做好信息保障工作，在市府办指导下，在继续做好网站信息公开的基础上，不断扩大公开途径，加大新闻媒体、政务大厅窗口等方面的公开力度，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同时，高度重视新媒体平台的维护管理，严格按照信息发布管理办法，严把内容，加强日常维护和监管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1"/>
        <w:jc w:val="left"/>
        <w:textAlignment w:val="auto"/>
        <w:rPr>
          <w:rFonts w:hint="default" w:ascii="Times New Roman" w:hAnsi="Times New Roman" w:eastAsia="楷体_GB2312" w:cs="Times New Roman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（五）监督保障情况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按照“应公开、尽公开”的原则，对关于网上办事的咨询投诉做出答复，不断提高行政审批效率。设立主任信箱、在线留言、网上投诉、网上调查、民意征集等公众互动栏目，及时处理答复公众咨询。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黑体简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二、主动公开政府信息情况</w:t>
      </w:r>
    </w:p>
    <w:tbl>
      <w:tblPr>
        <w:tblStyle w:val="7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z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z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z w:val="20"/>
              </w:rPr>
              <w:t>本年</w:t>
            </w: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z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z w:val="20"/>
              </w:rPr>
              <w:t>现行有效件</w:t>
            </w: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z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z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z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z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z w:val="20"/>
                <w:lang w:val="en-US" w:eastAsia="zh-CN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z w:val="20"/>
                <w:lang w:val="en-US" w:eastAsia="zh-CN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z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z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z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z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z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z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z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z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z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z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z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z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z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napToGrid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napToGrid/>
          <w:color w:val="auto"/>
          <w:sz w:val="32"/>
          <w:szCs w:val="32"/>
        </w:rPr>
        <w:t>三、收到和处理政府信息公开申请情况</w:t>
      </w:r>
    </w:p>
    <w:p>
      <w:pPr>
        <w:widowControl/>
        <w:shd w:val="clear" w:color="auto" w:fill="FFFFFF"/>
        <w:autoSpaceDE/>
        <w:autoSpaceDN/>
        <w:snapToGrid/>
        <w:spacing w:line="240" w:lineRule="auto"/>
        <w:ind w:firstLine="480"/>
        <w:rPr>
          <w:rFonts w:hint="default" w:ascii="Times New Roman" w:hAnsi="Times New Roman" w:eastAsia="宋体" w:cs="Times New Roman"/>
          <w:snapToGrid/>
          <w:color w:val="333333"/>
          <w:sz w:val="24"/>
          <w:szCs w:val="24"/>
        </w:rPr>
      </w:pPr>
    </w:p>
    <w:tbl>
      <w:tblPr>
        <w:tblStyle w:val="7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1"/>
        <w:gridCol w:w="770"/>
        <w:gridCol w:w="606"/>
        <w:gridCol w:w="688"/>
        <w:gridCol w:w="688"/>
        <w:gridCol w:w="688"/>
        <w:gridCol w:w="688"/>
        <w:gridCol w:w="6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</w:p>
        </w:tc>
        <w:tc>
          <w:tcPr>
            <w:tcW w:w="77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自然人</w:t>
            </w:r>
          </w:p>
        </w:tc>
        <w:tc>
          <w:tcPr>
            <w:tcW w:w="335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商业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科研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一、本年新收政府信息公开申请数量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二、上年结转政府信息公开申请数量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三、本年度办理结果</w:t>
            </w:r>
          </w:p>
        </w:tc>
        <w:tc>
          <w:tcPr>
            <w:tcW w:w="4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（一）予以公开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</w:p>
        </w:tc>
        <w:tc>
          <w:tcPr>
            <w:tcW w:w="4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（二）部分公开（区分处理的，只计这一情形，不计其他情形）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（三）不予公开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1.属于国家秘密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2.其他法律行政法规禁止公开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3.危及“三安全一稳定”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4.保护第三方合法权益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5.属于三类内部事务信息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6.属于四类过程性信息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7.属于行政执法案卷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8.属于行政查询事项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（四）无法提供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1.本机关不掌握相关政府信息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2.没有现成信息需要另行制作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3.补正后申请内容仍不明确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（五）不予处理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1.信访举报投诉类申请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2.重复申请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3.要求提供公开出版物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4.无正当理由大量反复申请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5.要求行政机关确认或重新出具已获取信息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（六）其他处理</w:t>
            </w:r>
          </w:p>
        </w:tc>
        <w:tc>
          <w:tcPr>
            <w:tcW w:w="322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1.申请人无正当理由逾期不补正、行政机关不再处理其政府信息公开申请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single" w:color="auto" w:sz="4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single" w:color="auto" w:sz="4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3.其他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</w:p>
        </w:tc>
        <w:tc>
          <w:tcPr>
            <w:tcW w:w="41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（七）总计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四、结转下年度继续办理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napToGrid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napToGrid/>
          <w:color w:val="auto"/>
          <w:sz w:val="32"/>
          <w:szCs w:val="32"/>
        </w:rPr>
        <w:t>四、政府信息公开行政复议、行政诉讼情况</w:t>
      </w:r>
    </w:p>
    <w:p>
      <w:pPr>
        <w:widowControl/>
        <w:shd w:val="clear" w:color="auto" w:fill="FFFFFF"/>
        <w:autoSpaceDE/>
        <w:autoSpaceDN/>
        <w:snapToGrid/>
        <w:spacing w:line="240" w:lineRule="auto"/>
        <w:ind w:firstLine="0"/>
        <w:jc w:val="center"/>
        <w:rPr>
          <w:rFonts w:hint="default" w:ascii="Times New Roman" w:hAnsi="Times New Roman" w:eastAsia="宋体" w:cs="Times New Roman"/>
          <w:snapToGrid/>
          <w:color w:val="333333"/>
          <w:sz w:val="24"/>
          <w:szCs w:val="24"/>
        </w:rPr>
      </w:pPr>
    </w:p>
    <w:tbl>
      <w:tblPr>
        <w:tblStyle w:val="7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结果</w:t>
            </w: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其他</w:t>
            </w: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尚未</w:t>
            </w: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结果</w:t>
            </w: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结果</w:t>
            </w: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其他</w:t>
            </w: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尚未</w:t>
            </w: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z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结果</w:t>
            </w: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结果</w:t>
            </w: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z w:val="20"/>
              </w:rPr>
              <w:t>其他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z w:val="2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z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尚未</w:t>
            </w: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snapToGrid/>
                <w:sz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sz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政府信息公开工作虽然取得了一定成绩，但与上级要求和群众期盼相比，还存在一些差距和不足。主要是信息公开宣传的氛围还不够浓厚，信息公开内容有些还不具体、重点不突出，信息公开的及时性还有待进一步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在今后工作中，我们将认真总结工作中存在问题，创新举措，分类施策，全面提升政府信息公开工作水平。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一是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提高思想认识。坚持主要负责同志亲自部署督导，分管同志具体负责落实，各科室协同配合，采取有力措施，持续抓实抓好，确保政务信息公开到位、服务到位。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二是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健全公开制度。在已有制度的基础上，查缺补漏，加快建立和完成相关信息公开工作制度，进一步规范公开内容，提高公开质量，形成以制度管人、以制度谋事的长效机制，促进信息公开。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三是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推进主动公开。及时做好重点领域主动公开工作，加大对群众关注的行政服务、公共服务信息等领域信息公开力度，不断增强政府工作透明度。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四是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规范网站建设。严格按照网站绩效评估指标要求加强网站建设，细化完善栏目要素，规范栏目名称及信息发布格式，按照相关规定在泉州市行政服务中心网站上进行公开，加强线上线下互动，做好宣传发动，提高政府决策的民主化、科学化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五是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提升服务水平。充分利用电视、网络等媒体渠道推进信息公开工作，拓宽便民服务通道，不断提高信息公开工作水平。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六是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提升业务水平。持续抓好人员调配、业务培训工作，加强政府信息公开条例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政策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信息公开办法的学习，掌握新知识、运用新技术，明确职责，落实责任，着力提升业务水平，使信息公开工作顺利推进。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中心管委会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本年度没有生信息公开处理费。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4480" w:firstLineChars="14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泉州市行政服务中心管委会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5126" w:firstLineChars="1602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2022年1月18日</w:t>
      </w: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134" w:left="1587" w:header="851" w:footer="1191" w:gutter="0"/>
      <w:pgNumType w:fmt="numberInDash" w:start="1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B5C86CC-23FE-4403-92A0-0380E1E4A2B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63602F02-F0ED-41A1-A06E-CDE0D93BE2D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24B2D6C4-C97E-45F3-AF8A-6DFD98FE3DD2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0C3972B5-A7ED-4B17-86BA-A2A6570B6FAB}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5" w:fontKey="{F1DAE9A8-99B9-4B85-AD94-0B8D74F544A6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黑体_GBK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50" w:firstLineChars="50"/>
      <w:jc w:val="right"/>
      <w:rPr>
        <w:rFonts w:ascii="宋体" w:hAnsi="宋体"/>
        <w:sz w:val="30"/>
        <w:szCs w:val="30"/>
      </w:rPr>
    </w:pPr>
    <w:r>
      <w:rPr>
        <w:rFonts w:ascii="宋体" w:hAnsi="宋体"/>
        <w:sz w:val="30"/>
        <w:szCs w:val="30"/>
      </w:rPr>
      <w:fldChar w:fldCharType="begin"/>
    </w:r>
    <w:r>
      <w:rPr>
        <w:rFonts w:ascii="宋体" w:hAnsi="宋体"/>
        <w:sz w:val="30"/>
        <w:szCs w:val="30"/>
      </w:rPr>
      <w:instrText xml:space="preserve"> PAGE   \* MERGEFORMAT </w:instrText>
    </w:r>
    <w:r>
      <w:rPr>
        <w:rFonts w:ascii="宋体" w:hAnsi="宋体"/>
        <w:sz w:val="30"/>
        <w:szCs w:val="30"/>
      </w:rPr>
      <w:fldChar w:fldCharType="separate"/>
    </w:r>
    <w:r>
      <w:rPr>
        <w:rFonts w:ascii="宋体" w:hAnsi="宋体"/>
        <w:sz w:val="30"/>
        <w:szCs w:val="30"/>
        <w:lang w:val="zh-CN"/>
      </w:rPr>
      <w:t>-</w:t>
    </w:r>
    <w:r>
      <w:rPr>
        <w:rFonts w:ascii="宋体" w:hAnsi="宋体"/>
        <w:sz w:val="30"/>
        <w:szCs w:val="30"/>
      </w:rPr>
      <w:t xml:space="preserve"> 13 -</w:t>
    </w:r>
    <w:r>
      <w:rPr>
        <w:rFonts w:ascii="宋体" w:hAnsi="宋体"/>
        <w:sz w:val="30"/>
        <w:szCs w:val="30"/>
      </w:rPr>
      <w:fldChar w:fldCharType="end"/>
    </w:r>
  </w:p>
  <w:p>
    <w:pPr>
      <w:pStyle w:val="3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600"/>
      <w:rPr>
        <w:rFonts w:ascii="宋体" w:hAnsi="宋体"/>
        <w:sz w:val="30"/>
        <w:szCs w:val="30"/>
      </w:rPr>
    </w:pPr>
    <w:r>
      <w:rPr>
        <w:rFonts w:ascii="宋体" w:hAnsi="宋体"/>
        <w:sz w:val="30"/>
        <w:szCs w:val="30"/>
      </w:rPr>
      <w:fldChar w:fldCharType="begin"/>
    </w:r>
    <w:r>
      <w:rPr>
        <w:rFonts w:ascii="宋体" w:hAnsi="宋体"/>
        <w:sz w:val="30"/>
        <w:szCs w:val="30"/>
      </w:rPr>
      <w:instrText xml:space="preserve"> PAGE   \* MERGEFORMAT </w:instrText>
    </w:r>
    <w:r>
      <w:rPr>
        <w:rFonts w:ascii="宋体" w:hAnsi="宋体"/>
        <w:sz w:val="30"/>
        <w:szCs w:val="30"/>
      </w:rPr>
      <w:fldChar w:fldCharType="separate"/>
    </w:r>
    <w:r>
      <w:rPr>
        <w:rFonts w:ascii="宋体" w:hAnsi="宋体"/>
        <w:sz w:val="30"/>
        <w:szCs w:val="30"/>
        <w:lang w:val="zh-CN"/>
      </w:rPr>
      <w:t>-</w:t>
    </w:r>
    <w:r>
      <w:rPr>
        <w:rFonts w:ascii="宋体" w:hAnsi="宋体"/>
        <w:sz w:val="30"/>
        <w:szCs w:val="30"/>
      </w:rPr>
      <w:t xml:space="preserve"> 14 -</w:t>
    </w:r>
    <w:r>
      <w:rPr>
        <w:rFonts w:ascii="宋体" w:hAnsi="宋体"/>
        <w:sz w:val="30"/>
        <w:szCs w:val="30"/>
      </w:rPr>
      <w:fldChar w:fldCharType="end"/>
    </w:r>
  </w:p>
  <w:p>
    <w:pPr>
      <w:pStyle w:val="3"/>
      <w:ind w:firstLine="280" w:firstLineChars="100"/>
      <w:rPr>
        <w:rFonts w:ascii="宋体" w:hAnsi="宋体" w:eastAsia="宋体"/>
        <w:sz w:val="28"/>
      </w:rPr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0DC3EE"/>
    <w:multiLevelType w:val="singleLevel"/>
    <w:tmpl w:val="5E0DC3EE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D8"/>
    <w:rsid w:val="000251E3"/>
    <w:rsid w:val="00032339"/>
    <w:rsid w:val="001D7978"/>
    <w:rsid w:val="0025353A"/>
    <w:rsid w:val="002D64BF"/>
    <w:rsid w:val="00303FF9"/>
    <w:rsid w:val="00312C57"/>
    <w:rsid w:val="00470CCC"/>
    <w:rsid w:val="004964EE"/>
    <w:rsid w:val="004E52E6"/>
    <w:rsid w:val="00595D66"/>
    <w:rsid w:val="005F6674"/>
    <w:rsid w:val="006064D8"/>
    <w:rsid w:val="006657B8"/>
    <w:rsid w:val="00732C8F"/>
    <w:rsid w:val="007516CB"/>
    <w:rsid w:val="007E610F"/>
    <w:rsid w:val="00864641"/>
    <w:rsid w:val="008D7A88"/>
    <w:rsid w:val="00924095"/>
    <w:rsid w:val="00977345"/>
    <w:rsid w:val="00A52C06"/>
    <w:rsid w:val="00A605DD"/>
    <w:rsid w:val="00A62523"/>
    <w:rsid w:val="00A74E20"/>
    <w:rsid w:val="00B63FE4"/>
    <w:rsid w:val="00B72CFF"/>
    <w:rsid w:val="00BA7BFB"/>
    <w:rsid w:val="00C768E4"/>
    <w:rsid w:val="00CD6B21"/>
    <w:rsid w:val="00D13639"/>
    <w:rsid w:val="00D3116D"/>
    <w:rsid w:val="00D657AD"/>
    <w:rsid w:val="00D9492D"/>
    <w:rsid w:val="00E849F9"/>
    <w:rsid w:val="00F2735A"/>
    <w:rsid w:val="00F62B8B"/>
    <w:rsid w:val="00FD2E23"/>
    <w:rsid w:val="00FE18D0"/>
    <w:rsid w:val="00FE4EF5"/>
    <w:rsid w:val="016C598B"/>
    <w:rsid w:val="06F61409"/>
    <w:rsid w:val="0B0F74B4"/>
    <w:rsid w:val="0CF50D4F"/>
    <w:rsid w:val="0E1E44E0"/>
    <w:rsid w:val="0E4B7E15"/>
    <w:rsid w:val="0ED80D5B"/>
    <w:rsid w:val="0F5220D3"/>
    <w:rsid w:val="100779DE"/>
    <w:rsid w:val="14CD4197"/>
    <w:rsid w:val="1750521C"/>
    <w:rsid w:val="17C2175F"/>
    <w:rsid w:val="17C23271"/>
    <w:rsid w:val="1A617B76"/>
    <w:rsid w:val="1C6B6C0E"/>
    <w:rsid w:val="1EA53335"/>
    <w:rsid w:val="2BB00079"/>
    <w:rsid w:val="2C9757B6"/>
    <w:rsid w:val="329D7016"/>
    <w:rsid w:val="374B5666"/>
    <w:rsid w:val="388D1168"/>
    <w:rsid w:val="3A0208E8"/>
    <w:rsid w:val="3BF32ED2"/>
    <w:rsid w:val="3E031BB0"/>
    <w:rsid w:val="432550D9"/>
    <w:rsid w:val="43EE00CB"/>
    <w:rsid w:val="44084555"/>
    <w:rsid w:val="48C479A3"/>
    <w:rsid w:val="4C217664"/>
    <w:rsid w:val="56BB2A26"/>
    <w:rsid w:val="57096F7E"/>
    <w:rsid w:val="58403067"/>
    <w:rsid w:val="59364F6B"/>
    <w:rsid w:val="599B76B4"/>
    <w:rsid w:val="5FB0490E"/>
    <w:rsid w:val="5FE824E9"/>
    <w:rsid w:val="602711EC"/>
    <w:rsid w:val="65CE6B38"/>
    <w:rsid w:val="684B2D5B"/>
    <w:rsid w:val="71C83765"/>
    <w:rsid w:val="731229E3"/>
    <w:rsid w:val="774A48EE"/>
    <w:rsid w:val="7E072C4D"/>
    <w:rsid w:val="7E0B4FFB"/>
    <w:rsid w:val="7E4343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6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unhideWhenUsed/>
    <w:qFormat/>
    <w:uiPriority w:val="99"/>
    <w:rPr>
      <w:rFonts w:hint="default" w:ascii="Verdana" w:hAnsi="Verdana" w:cs="Verdana"/>
      <w:color w:val="000000"/>
      <w:sz w:val="18"/>
      <w:szCs w:val="18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yperlink"/>
    <w:basedOn w:val="9"/>
    <w:unhideWhenUsed/>
    <w:qFormat/>
    <w:uiPriority w:val="99"/>
    <w:rPr>
      <w:rFonts w:ascii="Verdana" w:hAnsi="Verdana" w:cs="Verdana"/>
      <w:color w:val="000000"/>
      <w:sz w:val="18"/>
      <w:szCs w:val="18"/>
      <w:u w:val="none"/>
    </w:rPr>
  </w:style>
  <w:style w:type="character" w:customStyle="1" w:styleId="14">
    <w:name w:val="页眉 Char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3"/>
    <w:semiHidden/>
    <w:qFormat/>
    <w:uiPriority w:val="99"/>
    <w:rPr>
      <w:sz w:val="18"/>
      <w:szCs w:val="18"/>
    </w:rPr>
  </w:style>
  <w:style w:type="character" w:customStyle="1" w:styleId="16">
    <w:name w:val="副标题 Char"/>
    <w:basedOn w:val="9"/>
    <w:link w:val="5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17">
    <w:name w:val="日期 Char"/>
    <w:basedOn w:val="9"/>
    <w:link w:val="2"/>
    <w:semiHidden/>
    <w:qFormat/>
    <w:uiPriority w:val="99"/>
  </w:style>
  <w:style w:type="character" w:customStyle="1" w:styleId="18">
    <w:name w:val="hj-easyread-speakerprocesser-position-action-icon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1C6A31-1C54-4F89-9149-2063B0F320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867</Words>
  <Characters>4947</Characters>
  <Lines>41</Lines>
  <Paragraphs>11</Paragraphs>
  <TotalTime>19</TotalTime>
  <ScaleCrop>false</ScaleCrop>
  <LinksUpToDate>false</LinksUpToDate>
  <CharactersWithSpaces>5803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2019-11-29T02:56:00Z</dcterms:created>
  <dc:creator>pc</dc:creator>
  <cp:lastModifiedBy>Katrine</cp:lastModifiedBy>
  <cp:lastPrinted>2022-01-18T07:44:00Z</cp:lastPrinted>
  <dcterms:modified xsi:type="dcterms:W3CDTF">2022-01-21T07:23:00Z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7D249778396B4FD1BE2CE3A7A1E412EA</vt:lpwstr>
  </property>
</Properties>
</file>